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registro-de-riesgos-de-sistemas-de-ia"/>
    <w:p>
      <w:pPr>
        <w:pStyle w:val="Heading1"/>
      </w:pPr>
      <w:r>
        <w:t xml:space="preserve">Registro de riesgos de sistemas de IA</w:t>
      </w:r>
    </w:p>
    <w:p>
      <w:pPr>
        <w:pStyle w:val="FirstParagraph"/>
      </w:pPr>
      <w:r>
        <w:rPr>
          <w:b/>
          <w:bCs/>
        </w:rPr>
        <w:t xml:space="preserve">Organización:</w:t>
      </w:r>
      <w:r>
        <w:t xml:space="preserve"> </w:t>
      </w:r>
      <w:r>
        <w:t xml:space="preserve">[NOMBRE_EMPRESA]</w:t>
      </w:r>
      <w:r>
        <w:br/>
      </w:r>
      <w:r>
        <w:rPr>
          <w:b/>
          <w:bCs/>
        </w:rPr>
        <w:t xml:space="preserve">Sistema/Proyecto de IA:</w:t>
      </w:r>
      <w:r>
        <w:t xml:space="preserve"> </w:t>
      </w:r>
      <w:r>
        <w:t xml:space="preserve">[NOMBRE DEL SISTEMA O PROYECTO]</w:t>
      </w:r>
      <w:r>
        <w:br/>
      </w:r>
      <w:r>
        <w:rPr>
          <w:b/>
          <w:bCs/>
        </w:rPr>
        <w:t xml:space="preserve">Propietario del registro:</w:t>
      </w:r>
      <w:r>
        <w:t xml:space="preserve"> </w:t>
      </w:r>
      <w:r>
        <w:t xml:space="preserve">[NOMBRE Y CARGO]</w:t>
      </w:r>
      <w:r>
        <w:br/>
      </w:r>
      <w:r>
        <w:rPr>
          <w:b/>
          <w:bCs/>
        </w:rPr>
        <w:t xml:space="preserve">Última actualización:</w:t>
      </w:r>
      <w:r>
        <w:t xml:space="preserve"> </w:t>
      </w:r>
      <w:r>
        <w:t xml:space="preserve">[FECHA]</w:t>
      </w:r>
      <w:r>
        <w:br/>
      </w:r>
      <w:r>
        <w:rPr>
          <w:b/>
          <w:bCs/>
        </w:rPr>
        <w:t xml:space="preserve">Próxima revisión programada:</w:t>
      </w:r>
      <w:r>
        <w:t xml:space="preserve"> </w:t>
      </w:r>
      <w:r>
        <w:t xml:space="preserve">[FECHA]</w:t>
      </w:r>
    </w:p>
    <w:p>
      <w:r>
        <w:pict>
          <v:rect style="width:0;height:1.5pt" o:hralign="center" o:hrstd="t" o:hr="t"/>
        </w:pict>
      </w:r>
    </w:p>
    <w:bookmarkStart w:id="9" w:name="instrucciones-de-uso"/>
    <w:p>
      <w:pPr>
        <w:pStyle w:val="Heading2"/>
      </w:pPr>
      <w:r>
        <w:t xml:space="preserve">Instrucciones de uso</w:t>
      </w:r>
    </w:p>
    <w:p>
      <w:pPr>
        <w:pStyle w:val="FirstParagraph"/>
      </w:pPr>
      <w:r>
        <w:t xml:space="preserve">Este registro documenta los riesgos identificados en los sistemas de IA de la organización. Se actualiza de forma continua cuando se identifican nuevos riesgos y se revisa formalmente en los siguientes momentos:</w:t>
      </w:r>
    </w:p>
    <w:p>
      <w:pPr>
        <w:pStyle w:val="Compact"/>
        <w:numPr>
          <w:ilvl w:val="0"/>
          <w:numId w:val="1001"/>
        </w:numPr>
      </w:pPr>
      <w:r>
        <w:t xml:space="preserve">Antes de cada gate de validación de fase.</w:t>
      </w:r>
    </w:p>
    <w:p>
      <w:pPr>
        <w:pStyle w:val="Compact"/>
        <w:numPr>
          <w:ilvl w:val="0"/>
          <w:numId w:val="1001"/>
        </w:numPr>
      </w:pPr>
      <w:r>
        <w:t xml:space="preserve">Cuando se produce un incidente no contemplado en el registro.</w:t>
      </w:r>
    </w:p>
    <w:p>
      <w:pPr>
        <w:pStyle w:val="Compact"/>
        <w:numPr>
          <w:ilvl w:val="0"/>
          <w:numId w:val="1001"/>
        </w:numPr>
      </w:pPr>
      <w:r>
        <w:t xml:space="preserve">Cuando hay cambios normativos relevantes.</w:t>
      </w:r>
    </w:p>
    <w:p>
      <w:pPr>
        <w:pStyle w:val="Compact"/>
        <w:numPr>
          <w:ilvl w:val="0"/>
          <w:numId w:val="1001"/>
        </w:numPr>
      </w:pPr>
      <w:r>
        <w:t xml:space="preserve">Cuando el sistema se reentrena o recibe una actualización significativa.</w:t>
      </w:r>
    </w:p>
    <w:p>
      <w:pPr>
        <w:pStyle w:val="Compact"/>
        <w:numPr>
          <w:ilvl w:val="0"/>
          <w:numId w:val="1001"/>
        </w:numPr>
      </w:pPr>
      <w:r>
        <w:t xml:space="preserve">Al menos cada 12 meses.</w:t>
      </w:r>
    </w:p>
    <w:p>
      <w:pPr>
        <w:pStyle w:val="FirstParagraph"/>
      </w:pPr>
      <w:r>
        <w:rPr>
          <w:b/>
          <w:bCs/>
        </w:rPr>
        <w:t xml:space="preserve">Escala de probabilidad:</w:t>
      </w:r>
      <w:r>
        <w:t xml:space="preserve"> </w:t>
      </w:r>
      <w:r>
        <w:t xml:space="preserve">1 = Muy baja | 2 = Baja | 3 = Media | 4 = Alta | 5 = Muy alta</w:t>
      </w:r>
    </w:p>
    <w:p>
      <w:pPr>
        <w:pStyle w:val="BodyText"/>
      </w:pPr>
      <w:r>
        <w:rPr>
          <w:b/>
          <w:bCs/>
        </w:rPr>
        <w:t xml:space="preserve">Escala de impacto:</w:t>
      </w:r>
      <w:r>
        <w:t xml:space="preserve"> </w:t>
      </w:r>
      <w:r>
        <w:t xml:space="preserve">1 = Insignificante | 2 = Menor | 3 = Moderado | 4 = Mayor | 5 = Catastrófico</w:t>
      </w:r>
    </w:p>
    <w:p>
      <w:pPr>
        <w:pStyle w:val="BodyText"/>
      </w:pPr>
      <w:r>
        <w:rPr>
          <w:b/>
          <w:bCs/>
        </w:rPr>
        <w:t xml:space="preserve">Nivel de riesgo = Probabilidad × Impacto:</w:t>
      </w:r>
      <w:r>
        <w:t xml:space="preserve"> </w:t>
      </w:r>
      <w:r>
        <w:t xml:space="preserve">1-4 = Bajo | 5-9 = Medio | 10-16 = Alto | 17-25 = Crítico</w:t>
      </w:r>
    </w:p>
    <w:p>
      <w:pPr>
        <w:pStyle w:val="BodyText"/>
      </w:pPr>
      <w:r>
        <w:rPr>
          <w:b/>
          <w:bCs/>
        </w:rPr>
        <w:t xml:space="preserve">Opciones de tratamiento:</w:t>
      </w:r>
      <w:r>
        <w:t xml:space="preserve"> </w:t>
      </w:r>
      <w:r>
        <w:t xml:space="preserve">Mitigar | Aceptar | Transferir | Evitar</w:t>
      </w:r>
    </w:p>
    <w:p>
      <w:r>
        <w:pict>
          <v:rect style="width:0;height:1.5pt" o:hralign="center" o:hrstd="t" o:hr="t"/>
        </w:pict>
      </w:r>
    </w:p>
    <w:bookmarkEnd w:id="9"/>
    <w:bookmarkStart w:id="10" w:name="registro"/>
    <w:p>
      <w:pPr>
        <w:pStyle w:val="Heading2"/>
      </w:pPr>
      <w:r>
        <w:t xml:space="preserve">Registro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Descripción del riesgo</w:t>
            </w:r>
          </w:p>
        </w:tc>
        <w:tc>
          <w:tcPr/>
          <w:p>
            <w:pPr>
              <w:pStyle w:val="Compact"/>
            </w:pPr>
            <w:r>
              <w:t xml:space="preserve">Categoría</w:t>
            </w:r>
          </w:p>
        </w:tc>
        <w:tc>
          <w:tcPr/>
          <w:p>
            <w:pPr>
              <w:pStyle w:val="Compact"/>
            </w:pPr>
            <w:r>
              <w:t xml:space="preserve">Prob.</w:t>
            </w:r>
          </w:p>
        </w:tc>
        <w:tc>
          <w:tcPr/>
          <w:p>
            <w:pPr>
              <w:pStyle w:val="Compact"/>
            </w:pPr>
            <w:r>
              <w:t xml:space="preserve">Impacto</w:t>
            </w:r>
          </w:p>
        </w:tc>
        <w:tc>
          <w:tcPr/>
          <w:p>
            <w:pPr>
              <w:pStyle w:val="Compact"/>
            </w:pPr>
            <w:r>
              <w:t xml:space="preserve">Nivel</w:t>
            </w:r>
          </w:p>
        </w:tc>
        <w:tc>
          <w:tcPr/>
          <w:p>
            <w:pPr>
              <w:pStyle w:val="Compact"/>
            </w:pPr>
            <w:r>
              <w:t xml:space="preserve">Tratamiento</w:t>
            </w:r>
          </w:p>
        </w:tc>
        <w:tc>
          <w:tcPr/>
          <w:p>
            <w:pPr>
              <w:pStyle w:val="Compact"/>
            </w:pPr>
            <w:r>
              <w:t xml:space="preserve">Medida de control</w:t>
            </w:r>
          </w:p>
        </w:tc>
        <w:tc>
          <w:tcPr/>
          <w:p>
            <w:pPr>
              <w:pStyle w:val="Compact"/>
            </w:pPr>
            <w:r>
              <w:t xml:space="preserve">Responsable</w:t>
            </w:r>
          </w:p>
        </w:tc>
        <w:tc>
          <w:tcPr/>
          <w:p>
            <w:pPr>
              <w:pStyle w:val="Compact"/>
            </w:pPr>
            <w:r>
              <w:t xml:space="preserve">Fecha límite</w:t>
            </w:r>
          </w:p>
        </w:tc>
        <w:tc>
          <w:tcPr/>
          <w:p>
            <w:pPr>
              <w:pStyle w:val="Compact"/>
            </w:pPr>
            <w:r>
              <w:t xml:space="preserve">Estado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R-001</w:t>
            </w:r>
          </w:p>
        </w:tc>
        <w:tc>
          <w:tcPr/>
          <w:p>
            <w:pPr>
              <w:pStyle w:val="Compact"/>
            </w:pPr>
            <w:r>
              <w:t xml:space="preserve">Los datos de entrenamiento no son representativos de todos los segmentos de usuarios, generando predicciones sistemáticamente erróneas para ciertos grupos</w:t>
            </w:r>
          </w:p>
        </w:tc>
        <w:tc>
          <w:tcPr/>
          <w:p>
            <w:pPr>
              <w:pStyle w:val="Compact"/>
            </w:pPr>
            <w:r>
              <w:t xml:space="preserve">Datos - Sesgo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12 (Alto)</w:t>
            </w:r>
          </w:p>
        </w:tc>
        <w:tc>
          <w:tcPr/>
          <w:p>
            <w:pPr>
              <w:pStyle w:val="Compact"/>
            </w:pPr>
            <w:r>
              <w:t xml:space="preserve">Mitigar</w:t>
            </w:r>
          </w:p>
        </w:tc>
        <w:tc>
          <w:tcPr/>
          <w:p>
            <w:pPr>
              <w:pStyle w:val="Compact"/>
            </w:pPr>
            <w:r>
              <w:t xml:space="preserve">Evaluación de representatividad y análisis de fairness antes del despliegue; revisión trimestral en producción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Abierto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R-002</w:t>
            </w:r>
          </w:p>
        </w:tc>
        <w:tc>
          <w:tcPr/>
          <w:p>
            <w:pPr>
              <w:pStyle w:val="Compact"/>
            </w:pPr>
            <w:r>
              <w:t xml:space="preserve">El rendimiento de la herramienta de IA empeora con el tiempo porque los datos o el contexto de entrada cambian, sin que el equipo lo detecte</w:t>
            </w:r>
          </w:p>
        </w:tc>
        <w:tc>
          <w:tcPr/>
          <w:p>
            <w:pPr>
              <w:pStyle w:val="Compact"/>
            </w:pPr>
            <w:r>
              <w:t xml:space="preserve">Herramienta - Deterioro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9 (Medio)</w:t>
            </w:r>
          </w:p>
        </w:tc>
        <w:tc>
          <w:tcPr/>
          <w:p>
            <w:pPr>
              <w:pStyle w:val="Compact"/>
            </w:pPr>
            <w:r>
              <w:t xml:space="preserve">Mitigar</w:t>
            </w:r>
          </w:p>
        </w:tc>
        <w:tc>
          <w:tcPr/>
          <w:p>
            <w:pPr>
              <w:pStyle w:val="Compact"/>
            </w:pPr>
            <w:r>
              <w:t xml:space="preserve">Revisión periódica del rendimiento frente a la situación inicial; protocolo de respuesta definido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Abierto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R-003</w:t>
            </w:r>
          </w:p>
        </w:tc>
        <w:tc>
          <w:tcPr/>
          <w:p>
            <w:pPr>
              <w:pStyle w:val="Compact"/>
            </w:pPr>
            <w:r>
              <w:t xml:space="preserve">Empleados usan herramientas de IA no inventariadas (Shadow AI) para tareas con datos confidenciales</w:t>
            </w:r>
          </w:p>
        </w:tc>
        <w:tc>
          <w:tcPr/>
          <w:p>
            <w:pPr>
              <w:pStyle w:val="Compact"/>
            </w:pPr>
            <w:r>
              <w:t xml:space="preserve">Operativo - Shadow AI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12 (Alto)</w:t>
            </w:r>
          </w:p>
        </w:tc>
        <w:tc>
          <w:tcPr/>
          <w:p>
            <w:pPr>
              <w:pStyle w:val="Compact"/>
            </w:pPr>
            <w:r>
              <w:t xml:space="preserve">Mitigar</w:t>
            </w:r>
          </w:p>
        </w:tc>
        <w:tc>
          <w:tcPr/>
          <w:p>
            <w:pPr>
              <w:pStyle w:val="Compact"/>
            </w:pPr>
            <w:r>
              <w:t xml:space="preserve">AUP aprobada y comunicada; auditoría trimestral de herramientas en uso; protocolo de regularización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Abierto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R-004</w:t>
            </w:r>
          </w:p>
        </w:tc>
        <w:tc>
          <w:tcPr/>
          <w:p>
            <w:pPr>
              <w:pStyle w:val="Compact"/>
            </w:pPr>
            <w:r>
              <w:t xml:space="preserve">El sistema cae en categoría de alto riesgo del EU AI Act sin los controles requeridos</w:t>
            </w:r>
          </w:p>
        </w:tc>
        <w:tc>
          <w:tcPr/>
          <w:p>
            <w:pPr>
              <w:pStyle w:val="Compact"/>
            </w:pPr>
            <w:r>
              <w:t xml:space="preserve">Regulatorio - EU AI Act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10 (Alto)</w:t>
            </w:r>
          </w:p>
        </w:tc>
        <w:tc>
          <w:tcPr/>
          <w:p>
            <w:pPr>
              <w:pStyle w:val="Compact"/>
            </w:pPr>
            <w:r>
              <w:t xml:space="preserve">Mitigar</w:t>
            </w:r>
          </w:p>
        </w:tc>
        <w:tc>
          <w:tcPr/>
          <w:p>
            <w:pPr>
              <w:pStyle w:val="Compact"/>
            </w:pPr>
            <w:r>
              <w:t xml:space="preserve">Clasificación completa del EU AI Act antes del despliegue; checklist verificado por DPO/Legal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Abierto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R-005</w:t>
            </w:r>
          </w:p>
        </w:tc>
        <w:tc>
          <w:tcPr/>
          <w:p>
            <w:pPr>
              <w:pStyle w:val="Compact"/>
            </w:pPr>
            <w:r>
              <w:t xml:space="preserve">El proveedor de IA cambia sus condiciones de uso, precio o cierra el servicio sin alternativa preparada</w:t>
            </w:r>
          </w:p>
        </w:tc>
        <w:tc>
          <w:tcPr/>
          <w:p>
            <w:pPr>
              <w:pStyle w:val="Compact"/>
            </w:pPr>
            <w:r>
              <w:t xml:space="preserve">Operativo - Vendor lock-in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8 (Medio)</w:t>
            </w:r>
          </w:p>
        </w:tc>
        <w:tc>
          <w:tcPr/>
          <w:p>
            <w:pPr>
              <w:pStyle w:val="Compact"/>
            </w:pPr>
            <w:r>
              <w:t xml:space="preserve">Mitigar</w:t>
            </w:r>
          </w:p>
        </w:tc>
        <w:tc>
          <w:tcPr/>
          <w:p>
            <w:pPr>
              <w:pStyle w:val="Compact"/>
            </w:pPr>
            <w:r>
              <w:t xml:space="preserve">Evaluación de alternativas en la selección; arquitectura desacoplada del proveedor; cláusulas de portabilidad en el contrato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Abierto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R-006</w:t>
            </w:r>
          </w:p>
        </w:tc>
        <w:tc>
          <w:tcPr/>
          <w:p>
            <w:pPr>
              <w:pStyle w:val="Compact"/>
            </w:pPr>
            <w:r>
              <w:t xml:space="preserve">La herramienta genera resultados factualmente incorrectos (alucinaciones) que se usan sin revisión humana</w:t>
            </w:r>
          </w:p>
        </w:tc>
        <w:tc>
          <w:tcPr/>
          <w:p>
            <w:pPr>
              <w:pStyle w:val="Compact"/>
            </w:pPr>
            <w:r>
              <w:t xml:space="preserve">Herramienta - Fiabilidad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9 (Medio)</w:t>
            </w:r>
          </w:p>
        </w:tc>
        <w:tc>
          <w:tcPr/>
          <w:p>
            <w:pPr>
              <w:pStyle w:val="Compact"/>
            </w:pPr>
            <w:r>
              <w:t xml:space="preserve">Mitigar</w:t>
            </w:r>
          </w:p>
        </w:tc>
        <w:tc>
          <w:tcPr/>
          <w:p>
            <w:pPr>
              <w:pStyle w:val="Compact"/>
            </w:pPr>
            <w:r>
              <w:t xml:space="preserve">Proceso de revisión humana obligatoria para resultados de alto impacto; formación al equipo sobre limitaciones de la herramienta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Abierto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[R-XXX]</w:t>
            </w:r>
          </w:p>
        </w:tc>
        <w:tc>
          <w:tcPr/>
          <w:p>
            <w:pPr>
              <w:pStyle w:val="Compact"/>
            </w:pPr>
            <w:r>
              <w:t xml:space="preserve">[Descripción]</w:t>
            </w:r>
          </w:p>
        </w:tc>
        <w:tc>
          <w:tcPr/>
          <w:p>
            <w:pPr>
              <w:pStyle w:val="Compact"/>
            </w:pPr>
            <w:r>
              <w:t xml:space="preserve">[Categoría]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[Medida]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[Estado]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categorías-de-riesgo-disponibles"/>
    <w:p>
      <w:pPr>
        <w:pStyle w:val="Heading2"/>
      </w:pPr>
      <w:r>
        <w:t xml:space="preserve">Categorías de riesgo disponibles</w:t>
      </w:r>
    </w:p>
    <w:p>
      <w:pPr>
        <w:pStyle w:val="Compact"/>
        <w:numPr>
          <w:ilvl w:val="0"/>
          <w:numId w:val="1002"/>
        </w:numPr>
      </w:pPr>
      <w:r>
        <w:t xml:space="preserve">Datos - Sesgo</w:t>
      </w:r>
    </w:p>
    <w:p>
      <w:pPr>
        <w:pStyle w:val="Compact"/>
        <w:numPr>
          <w:ilvl w:val="0"/>
          <w:numId w:val="1002"/>
        </w:numPr>
      </w:pPr>
      <w:r>
        <w:t xml:space="preserve">Datos - Calidad</w:t>
      </w:r>
    </w:p>
    <w:p>
      <w:pPr>
        <w:pStyle w:val="Compact"/>
        <w:numPr>
          <w:ilvl w:val="0"/>
          <w:numId w:val="1002"/>
        </w:numPr>
      </w:pPr>
      <w:r>
        <w:t xml:space="preserve">Datos - Privacidad / PII</w:t>
      </w:r>
    </w:p>
    <w:p>
      <w:pPr>
        <w:pStyle w:val="Compact"/>
        <w:numPr>
          <w:ilvl w:val="0"/>
          <w:numId w:val="1002"/>
        </w:numPr>
      </w:pPr>
      <w:r>
        <w:t xml:space="preserve">Datos - Trazabilidad</w:t>
      </w:r>
    </w:p>
    <w:p>
      <w:pPr>
        <w:pStyle w:val="Compact"/>
        <w:numPr>
          <w:ilvl w:val="0"/>
          <w:numId w:val="1002"/>
        </w:numPr>
      </w:pPr>
      <w:r>
        <w:t xml:space="preserve">Herramienta - Deterioro</w:t>
      </w:r>
    </w:p>
    <w:p>
      <w:pPr>
        <w:pStyle w:val="Compact"/>
        <w:numPr>
          <w:ilvl w:val="0"/>
          <w:numId w:val="1002"/>
        </w:numPr>
      </w:pPr>
      <w:r>
        <w:t xml:space="preserve">Herramienta - Falta de explicación</w:t>
      </w:r>
    </w:p>
    <w:p>
      <w:pPr>
        <w:pStyle w:val="Compact"/>
        <w:numPr>
          <w:ilvl w:val="0"/>
          <w:numId w:val="1002"/>
        </w:numPr>
      </w:pPr>
      <w:r>
        <w:t xml:space="preserve">Herramienta - Fiabilidad</w:t>
      </w:r>
    </w:p>
    <w:p>
      <w:pPr>
        <w:pStyle w:val="Compact"/>
        <w:numPr>
          <w:ilvl w:val="0"/>
          <w:numId w:val="1002"/>
        </w:numPr>
      </w:pPr>
      <w:r>
        <w:t xml:space="preserve">Operativo - Shadow AI</w:t>
      </w:r>
    </w:p>
    <w:p>
      <w:pPr>
        <w:pStyle w:val="Compact"/>
        <w:numPr>
          <w:ilvl w:val="0"/>
          <w:numId w:val="1002"/>
        </w:numPr>
      </w:pPr>
      <w:r>
        <w:t xml:space="preserve">Operativo - Vendor lock-in</w:t>
      </w:r>
    </w:p>
    <w:p>
      <w:pPr>
        <w:pStyle w:val="Compact"/>
        <w:numPr>
          <w:ilvl w:val="0"/>
          <w:numId w:val="1002"/>
        </w:numPr>
      </w:pPr>
      <w:r>
        <w:t xml:space="preserve">Operativo - Coste no controlado</w:t>
      </w:r>
    </w:p>
    <w:p>
      <w:pPr>
        <w:pStyle w:val="Compact"/>
        <w:numPr>
          <w:ilvl w:val="0"/>
          <w:numId w:val="1002"/>
        </w:numPr>
      </w:pPr>
      <w:r>
        <w:t xml:space="preserve">Operativo - Downtime</w:t>
      </w:r>
    </w:p>
    <w:p>
      <w:pPr>
        <w:pStyle w:val="Compact"/>
        <w:numPr>
          <w:ilvl w:val="0"/>
          <w:numId w:val="1002"/>
        </w:numPr>
      </w:pPr>
      <w:r>
        <w:t xml:space="preserve">Regulatorio - EU AI Act</w:t>
      </w:r>
    </w:p>
    <w:p>
      <w:pPr>
        <w:pStyle w:val="Compact"/>
        <w:numPr>
          <w:ilvl w:val="0"/>
          <w:numId w:val="1002"/>
        </w:numPr>
      </w:pPr>
      <w:r>
        <w:t xml:space="preserve">Regulatorio - RGPD</w:t>
      </w:r>
    </w:p>
    <w:p>
      <w:pPr>
        <w:pStyle w:val="Compact"/>
        <w:numPr>
          <w:ilvl w:val="0"/>
          <w:numId w:val="1002"/>
        </w:numPr>
      </w:pPr>
      <w:r>
        <w:t xml:space="preserve">Regulatorio - Responsabilidad civil</w:t>
      </w:r>
    </w:p>
    <w:p>
      <w:pPr>
        <w:pStyle w:val="Compact"/>
        <w:numPr>
          <w:ilvl w:val="0"/>
          <w:numId w:val="1002"/>
        </w:numPr>
      </w:pPr>
      <w:r>
        <w:t xml:space="preserve">Reputacional - Uso indebido</w:t>
      </w:r>
    </w:p>
    <w:p>
      <w:pPr>
        <w:pStyle w:val="Compact"/>
        <w:numPr>
          <w:ilvl w:val="0"/>
          <w:numId w:val="1002"/>
        </w:numPr>
      </w:pPr>
      <w:r>
        <w:t xml:space="preserve">Reputacional - Desinformación</w:t>
      </w:r>
    </w:p>
    <w:p>
      <w:pPr>
        <w:pStyle w:val="Compact"/>
        <w:numPr>
          <w:ilvl w:val="0"/>
          <w:numId w:val="1002"/>
        </w:numPr>
      </w:pPr>
      <w:r>
        <w:t xml:space="preserve">Reputacional - Discriminación percibida</w:t>
      </w:r>
    </w:p>
    <w:p>
      <w:pPr>
        <w:pStyle w:val="Compact"/>
        <w:numPr>
          <w:ilvl w:val="0"/>
          <w:numId w:val="1002"/>
        </w:numPr>
      </w:pPr>
      <w:r>
        <w:t xml:space="preserve">Seguridad - Manipulación de la herramienta</w:t>
      </w:r>
    </w:p>
    <w:p>
      <w:r>
        <w:pict>
          <v:rect style="width:0;height:1.5pt" o:hralign="center" o:hrstd="t" o:hr="t"/>
        </w:pict>
      </w:r>
    </w:p>
    <w:bookmarkEnd w:id="11"/>
    <w:bookmarkStart w:id="12" w:name="historial-de-riesgos-cerrados"/>
    <w:p>
      <w:pPr>
        <w:pStyle w:val="Heading2"/>
      </w:pPr>
      <w:r>
        <w:t xml:space="preserve">Historial de riesgos cerrados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  <w:tc>
          <w:tcPr/>
          <w:p>
            <w:pPr>
              <w:pStyle w:val="Compact"/>
            </w:pPr>
            <w:r>
              <w:t xml:space="preserve">Fecha de cierre</w:t>
            </w:r>
          </w:p>
        </w:tc>
        <w:tc>
          <w:tcPr/>
          <w:p>
            <w:pPr>
              <w:pStyle w:val="Compact"/>
            </w:pPr>
            <w:r>
              <w:t xml:space="preserve">Motivo de cierre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2026-06-10T10:10:47Z</dcterms:created>
  <dcterms:modified xsi:type="dcterms:W3CDTF">2026-06-10T10:10:47Z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