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charter-del-comité-de-ia"/>
    <w:p>
      <w:pPr>
        <w:pStyle w:val="Heading1"/>
      </w:pPr>
      <w:r>
        <w:t xml:space="preserve">Charter del Comité de IA</w:t>
      </w:r>
    </w:p>
    <w:p>
      <w:pPr>
        <w:pStyle w:val="FirstParagraph"/>
      </w:pPr>
      <w:r>
        <w:rPr>
          <w:b/>
          <w:bCs/>
        </w:rPr>
        <w:t xml:space="preserve">Organización:</w:t>
      </w:r>
      <w:r>
        <w:t xml:space="preserve"> </w:t>
      </w:r>
      <w:r>
        <w:t xml:space="preserve">[NOMBRE_EMPRESA]</w:t>
      </w:r>
      <w:r>
        <w:br/>
      </w:r>
      <w:r>
        <w:rPr>
          <w:b/>
          <w:bCs/>
        </w:rPr>
        <w:t xml:space="preserve">Versión:</w:t>
      </w:r>
      <w:r>
        <w:t xml:space="preserve"> </w:t>
      </w:r>
      <w:r>
        <w:t xml:space="preserve">1.0</w:t>
      </w:r>
      <w:r>
        <w:br/>
      </w:r>
      <w:r>
        <w:rPr>
          <w:b/>
          <w:bCs/>
        </w:rPr>
        <w:t xml:space="preserve">Fecha de aprobación:</w:t>
      </w:r>
      <w:r>
        <w:t xml:space="preserve"> </w:t>
      </w:r>
      <w:r>
        <w:t xml:space="preserve">[FECHA]</w:t>
      </w:r>
      <w:r>
        <w:br/>
      </w:r>
      <w:r>
        <w:rPr>
          <w:b/>
          <w:bCs/>
        </w:rPr>
        <w:t xml:space="preserve">Firmado por:</w:t>
      </w:r>
      <w:r>
        <w:t xml:space="preserve"> </w:t>
      </w:r>
      <w:r>
        <w:t xml:space="preserve">[NOMBRE Y CARGO DE CADA MIEMBRO]</w:t>
      </w:r>
    </w:p>
    <w:p>
      <w:r>
        <w:pict>
          <v:rect style="width:0;height:1.5pt" o:hralign="center" o:hrstd="t" o:hr="t"/>
        </w:pict>
      </w:r>
    </w:p>
    <w:bookmarkStart w:id="9" w:name="misión"/>
    <w:p>
      <w:pPr>
        <w:pStyle w:val="Heading2"/>
      </w:pPr>
      <w:r>
        <w:t xml:space="preserve">1. Misión</w:t>
      </w:r>
    </w:p>
    <w:p>
      <w:pPr>
        <w:pStyle w:val="FirstParagraph"/>
      </w:pPr>
      <w:r>
        <w:t xml:space="preserve">El Comité de IA de [NOMBRE_EMPRESA] es el órgano de gobierno responsable de que la adopción de inteligencia artificial en la organización se realice de forma estratégica, responsable y dentro de los requisitos legales aplicables.</w:t>
      </w:r>
    </w:p>
    <w:p>
      <w:pPr>
        <w:pStyle w:val="BodyText"/>
      </w:pPr>
      <w:r>
        <w:t xml:space="preserve">Su misión es:</w:t>
      </w:r>
      <w:r>
        <w:t xml:space="preserve"> </w:t>
      </w:r>
      <w:r>
        <w:t xml:space="preserve">- Asegurar que las iniciativas de IA estén alineadas con la estrategia de negocio y generen valor demostrable.</w:t>
      </w:r>
      <w:r>
        <w:t xml:space="preserve"> </w:t>
      </w:r>
      <w:r>
        <w:t xml:space="preserve">- Garantizar que el uso de IA cumple con el Reglamento de IA de la UE, el RGPD y las políticas internas de la organización.</w:t>
      </w:r>
      <w:r>
        <w:t xml:space="preserve"> </w:t>
      </w:r>
      <w:r>
        <w:t xml:space="preserve">- Gestionar los riesgos que introducen los sistemas de IA en la organización.</w:t>
      </w:r>
      <w:r>
        <w:t xml:space="preserve"> </w:t>
      </w:r>
      <w:r>
        <w:t xml:space="preserve">- Tomar decisiones sobre qué iniciativas de IA se impulsan, con qué prioridad y con qué recursos.</w:t>
      </w:r>
    </w:p>
    <w:p>
      <w:r>
        <w:pict>
          <v:rect style="width:0;height:1.5pt" o:hralign="center" o:hrstd="t" o:hr="t"/>
        </w:pict>
      </w:r>
    </w:p>
    <w:bookmarkEnd w:id="9"/>
    <w:bookmarkStart w:id="10" w:name="composición"/>
    <w:p>
      <w:pPr>
        <w:pStyle w:val="Heading2"/>
      </w:pPr>
      <w:r>
        <w:t xml:space="preserve">2. Composición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Nombre</w:t>
            </w:r>
          </w:p>
        </w:tc>
        <w:tc>
          <w:tcPr/>
          <w:p>
            <w:pPr>
              <w:pStyle w:val="Compact"/>
            </w:pPr>
            <w:r>
              <w:t xml:space="preserve">Cargo en la empresa</w:t>
            </w:r>
          </w:p>
        </w:tc>
        <w:tc>
          <w:tcPr/>
          <w:p>
            <w:pPr>
              <w:pStyle w:val="Compact"/>
            </w:pPr>
            <w:r>
              <w:t xml:space="preserve">Área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Sponsor Ejecutivo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[CARGO]</w:t>
            </w:r>
          </w:p>
        </w:tc>
        <w:tc>
          <w:tcPr/>
          <w:p>
            <w:pPr>
              <w:pStyle w:val="Compact"/>
            </w:pPr>
            <w:r>
              <w:t xml:space="preserve">[ÁREA]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Líder Operativo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[CARGO]</w:t>
            </w:r>
          </w:p>
        </w:tc>
        <w:tc>
          <w:tcPr/>
          <w:p>
            <w:pPr>
              <w:pStyle w:val="Compact"/>
            </w:pPr>
            <w:r>
              <w:t xml:space="preserve">[ÁREA]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Partner de Integración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[CARGO]</w:t>
            </w:r>
          </w:p>
        </w:tc>
        <w:tc>
          <w:tcPr/>
          <w:p>
            <w:pPr>
              <w:pStyle w:val="Compact"/>
            </w:pPr>
            <w:r>
              <w:t xml:space="preserve">[ÁREA]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Partner Metodológico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[CARGO / EMPRESA EXTERNA]</w:t>
            </w:r>
          </w:p>
        </w:tc>
        <w:tc>
          <w:tcPr/>
          <w:p>
            <w:pPr>
              <w:pStyle w:val="Compact"/>
            </w:pPr>
            <w:r>
              <w:t xml:space="preserve">[ÁREA / CONSULTORÍA]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[Rol adicional, si aplica]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  <w:r>
              <w:t xml:space="preserve">[CARGO]</w:t>
            </w:r>
          </w:p>
        </w:tc>
        <w:tc>
          <w:tcPr/>
          <w:p>
            <w:pPr>
              <w:pStyle w:val="Compact"/>
            </w:pPr>
            <w:r>
              <w:t xml:space="preserve">[ÁREA]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0"/>
    <w:bookmarkStart w:id="13" w:name="responsabilidades"/>
    <w:p>
      <w:pPr>
        <w:pStyle w:val="Heading2"/>
      </w:pPr>
      <w:r>
        <w:t xml:space="preserve">3. Responsabilidades</w:t>
      </w:r>
    </w:p>
    <w:bookmarkStart w:id="11" w:name="responsabilidades-colectivas-del-comité"/>
    <w:p>
      <w:pPr>
        <w:pStyle w:val="Heading3"/>
      </w:pPr>
      <w:r>
        <w:t xml:space="preserve">Responsabilidades colectivas del Comité</w:t>
      </w:r>
    </w:p>
    <w:p>
      <w:pPr>
        <w:pStyle w:val="Compact"/>
        <w:numPr>
          <w:ilvl w:val="0"/>
          <w:numId w:val="1001"/>
        </w:numPr>
      </w:pPr>
      <w:r>
        <w:t xml:space="preserve">Aprobar y revisar la estrategia de IA de la organización.</w:t>
      </w:r>
    </w:p>
    <w:p>
      <w:pPr>
        <w:pStyle w:val="Compact"/>
        <w:numPr>
          <w:ilvl w:val="0"/>
          <w:numId w:val="1001"/>
        </w:numPr>
      </w:pPr>
      <w:r>
        <w:t xml:space="preserve">Priorizar el portfolio de iniciativas de IA y asignar recursos.</w:t>
      </w:r>
    </w:p>
    <w:p>
      <w:pPr>
        <w:pStyle w:val="Compact"/>
        <w:numPr>
          <w:ilvl w:val="0"/>
          <w:numId w:val="1001"/>
        </w:numPr>
      </w:pPr>
      <w:r>
        <w:t xml:space="preserve">Validar los gates de fase (Fase 0→1, Fase 1→2, cierre de Fase 2).</w:t>
      </w:r>
    </w:p>
    <w:p>
      <w:pPr>
        <w:pStyle w:val="Compact"/>
        <w:numPr>
          <w:ilvl w:val="0"/>
          <w:numId w:val="1001"/>
        </w:numPr>
      </w:pPr>
      <w:r>
        <w:t xml:space="preserve">Aprobar las políticas relacionadas con IA (AUP, política de datos, principios éticos).</w:t>
      </w:r>
    </w:p>
    <w:p>
      <w:pPr>
        <w:pStyle w:val="Compact"/>
        <w:numPr>
          <w:ilvl w:val="0"/>
          <w:numId w:val="1001"/>
        </w:numPr>
      </w:pPr>
      <w:r>
        <w:t xml:space="preserve">Gestionar los incidentes críticos de IA y tomar las decisiones de respuesta.</w:t>
      </w:r>
    </w:p>
    <w:p>
      <w:pPr>
        <w:pStyle w:val="Compact"/>
        <w:numPr>
          <w:ilvl w:val="0"/>
          <w:numId w:val="1001"/>
        </w:numPr>
      </w:pPr>
      <w:r>
        <w:t xml:space="preserve">Revisar el cumplimiento normativo de los sistemas de IA activos.</w:t>
      </w:r>
    </w:p>
    <w:bookmarkEnd w:id="11"/>
    <w:bookmarkStart w:id="12" w:name="responsabilidades-individuales-por-rol"/>
    <w:p>
      <w:pPr>
        <w:pStyle w:val="Heading3"/>
      </w:pPr>
      <w:r>
        <w:t xml:space="preserve">Responsabilidades individuales por rol</w:t>
      </w:r>
    </w:p>
    <w:p>
      <w:pPr>
        <w:pStyle w:val="FirstParagraph"/>
      </w:pPr>
      <w:r>
        <w:rPr>
          <w:b/>
          <w:bCs/>
        </w:rPr>
        <w:t xml:space="preserve">Sponsor Ejecutivo:</w:t>
      </w:r>
      <w:r>
        <w:t xml:space="preserve"> </w:t>
      </w:r>
      <w:r>
        <w:t xml:space="preserve">- Asegurar el respaldo ejecutivo al programa de adopción de IA.</w:t>
      </w:r>
      <w:r>
        <w:t xml:space="preserve"> </w:t>
      </w:r>
      <w:r>
        <w:t xml:space="preserve">- Comprometer y liberar el presupuesto necesario para cada fase.</w:t>
      </w:r>
      <w:r>
        <w:t xml:space="preserve"> </w:t>
      </w:r>
      <w:r>
        <w:t xml:space="preserve">- Eliminar obstáculos organizativos que no pueden resolverse en el nivel operativo.</w:t>
      </w:r>
      <w:r>
        <w:t xml:space="preserve"> </w:t>
      </w:r>
      <w:r>
        <w:t xml:space="preserve">- Comunicar el mandato de adopción de IA a la organización.</w:t>
      </w:r>
    </w:p>
    <w:p>
      <w:pPr>
        <w:pStyle w:val="BodyText"/>
      </w:pPr>
      <w:r>
        <w:rPr>
          <w:b/>
          <w:bCs/>
        </w:rPr>
        <w:t xml:space="preserve">Líder Operativo:</w:t>
      </w:r>
      <w:r>
        <w:t xml:space="preserve"> </w:t>
      </w:r>
      <w:r>
        <w:t xml:space="preserve">- Coordinar la ejecución del programa entre áreas.</w:t>
      </w:r>
      <w:r>
        <w:t xml:space="preserve"> </w:t>
      </w:r>
      <w:r>
        <w:t xml:space="preserve">- Preparar las reuniones del Comité y el informe mensual de seguimiento.</w:t>
      </w:r>
      <w:r>
        <w:t xml:space="preserve"> </w:t>
      </w:r>
      <w:r>
        <w:t xml:space="preserve">- Hacer seguimiento del rendimiento de los pilotos activos.</w:t>
      </w:r>
      <w:r>
        <w:t xml:space="preserve"> </w:t>
      </w:r>
      <w:r>
        <w:t xml:space="preserve">- Identificar y escalar obstáculos operativos.</w:t>
      </w:r>
    </w:p>
    <w:p>
      <w:pPr>
        <w:pStyle w:val="BodyText"/>
      </w:pPr>
      <w:r>
        <w:rPr>
          <w:b/>
          <w:bCs/>
        </w:rPr>
        <w:t xml:space="preserve">Partner de Integración:</w:t>
      </w:r>
      <w:r>
        <w:t xml:space="preserve"> </w:t>
      </w:r>
      <w:r>
        <w:t xml:space="preserve">- Evaluar la viabilidad técnica de las iniciativas propuestas.</w:t>
      </w:r>
      <w:r>
        <w:t xml:space="preserve"> </w:t>
      </w:r>
      <w:r>
        <w:t xml:space="preserve">- Auditar los aspectos técnicos de seguridad, privacidad y calidad de los sistemas de IA.</w:t>
      </w:r>
      <w:r>
        <w:t xml:space="preserve"> </w:t>
      </w:r>
      <w:r>
        <w:t xml:space="preserve">- Supervisar la integración técnica de los sistemas desplegados.</w:t>
      </w:r>
      <w:r>
        <w:t xml:space="preserve"> </w:t>
      </w:r>
      <w:r>
        <w:t xml:space="preserve">- Mantener el inventario técnico de sistemas de IA activos.</w:t>
      </w:r>
    </w:p>
    <w:p>
      <w:pPr>
        <w:pStyle w:val="BodyText"/>
      </w:pPr>
      <w:r>
        <w:rPr>
          <w:b/>
          <w:bCs/>
        </w:rPr>
        <w:t xml:space="preserve">Partner Metodológico:</w:t>
      </w:r>
      <w:r>
        <w:t xml:space="preserve"> </w:t>
      </w:r>
      <w:r>
        <w:t xml:space="preserve">- Mantener el proceso de adopción alineado con el marco metodológico.</w:t>
      </w:r>
      <w:r>
        <w:t xml:space="preserve"> </w:t>
      </w:r>
      <w:r>
        <w:t xml:space="preserve">- Coordinar la formación en IA para el equipo.</w:t>
      </w:r>
      <w:r>
        <w:t xml:space="preserve"> </w:t>
      </w:r>
      <w:r>
        <w:t xml:space="preserve">- Realizar el análisis de riesgo regulatorio de las iniciativas.</w:t>
      </w:r>
      <w:r>
        <w:t xml:space="preserve"> </w:t>
      </w:r>
      <w:r>
        <w:t xml:space="preserve">- Documentar los entregables de cada fase.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7" w:name="funcionamiento"/>
    <w:p>
      <w:pPr>
        <w:pStyle w:val="Heading2"/>
      </w:pPr>
      <w:r>
        <w:t xml:space="preserve">4. Funcionamiento</w:t>
      </w:r>
    </w:p>
    <w:bookmarkStart w:id="14" w:name="reuniones"/>
    <w:p>
      <w:pPr>
        <w:pStyle w:val="Heading3"/>
      </w:pPr>
      <w:r>
        <w:t xml:space="preserve">Reuniones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Tipo de reunión</w:t>
            </w:r>
          </w:p>
        </w:tc>
        <w:tc>
          <w:tcPr/>
          <w:p>
            <w:pPr>
              <w:pStyle w:val="Compact"/>
            </w:pPr>
            <w:r>
              <w:t xml:space="preserve">Frecuencia</w:t>
            </w:r>
          </w:p>
        </w:tc>
        <w:tc>
          <w:tcPr/>
          <w:p>
            <w:pPr>
              <w:pStyle w:val="Compact"/>
            </w:pPr>
            <w:r>
              <w:t xml:space="preserve">Asistencia mínima</w:t>
            </w:r>
          </w:p>
        </w:tc>
        <w:tc>
          <w:tcPr/>
          <w:p>
            <w:pPr>
              <w:pStyle w:val="Compact"/>
            </w:pPr>
            <w:r>
              <w:t xml:space="preserve">Convoca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Reunión mensual de seguimiento</w:t>
            </w:r>
          </w:p>
        </w:tc>
        <w:tc>
          <w:tcPr/>
          <w:p>
            <w:pPr>
              <w:pStyle w:val="Compact"/>
            </w:pPr>
            <w:r>
              <w:t xml:space="preserve">Mensual</w:t>
            </w:r>
          </w:p>
        </w:tc>
        <w:tc>
          <w:tcPr/>
          <w:p>
            <w:pPr>
              <w:pStyle w:val="Compact"/>
            </w:pPr>
            <w:r>
              <w:t xml:space="preserve">3 de 4 roles mínimos (incluyendo Sponsor Ejecutivo)</w:t>
            </w:r>
          </w:p>
        </w:tc>
        <w:tc>
          <w:tcPr/>
          <w:p>
            <w:pPr>
              <w:pStyle w:val="Compact"/>
            </w:pPr>
            <w:r>
              <w:t xml:space="preserve">Líder Operativo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Gate de validación de fase</w:t>
            </w:r>
          </w:p>
        </w:tc>
        <w:tc>
          <w:tcPr/>
          <w:p>
            <w:pPr>
              <w:pStyle w:val="Compact"/>
            </w:pPr>
            <w:r>
              <w:t xml:space="preserve">Una por transición de fase</w:t>
            </w:r>
          </w:p>
        </w:tc>
        <w:tc>
          <w:tcPr/>
          <w:p>
            <w:pPr>
              <w:pStyle w:val="Compact"/>
            </w:pPr>
            <w:r>
              <w:t xml:space="preserve">Quórum completo</w:t>
            </w:r>
          </w:p>
        </w:tc>
        <w:tc>
          <w:tcPr/>
          <w:p>
            <w:pPr>
              <w:pStyle w:val="Compact"/>
            </w:pPr>
            <w:r>
              <w:t xml:space="preserve">Líder Operativo</w:t>
            </w:r>
          </w:p>
        </w:tc>
      </w:tr>
      <w:tr>
        <w:tc>
          <w:tcPr/>
          <w:p>
            <w:pPr>
              <w:pStyle w:val="Compact"/>
            </w:pPr>
            <w:r>
              <w:t xml:space="preserve">Sesión de gestión de incidencias</w:t>
            </w:r>
          </w:p>
        </w:tc>
        <w:tc>
          <w:tcPr/>
          <w:p>
            <w:pPr>
              <w:pStyle w:val="Compact"/>
            </w:pPr>
            <w:r>
              <w:t xml:space="preserve">Excepcional (ante incidente crítico)</w:t>
            </w:r>
          </w:p>
        </w:tc>
        <w:tc>
          <w:tcPr/>
          <w:p>
            <w:pPr>
              <w:pStyle w:val="Compact"/>
            </w:pPr>
            <w:r>
              <w:t xml:space="preserve">Quórum completo</w:t>
            </w:r>
          </w:p>
        </w:tc>
        <w:tc>
          <w:tcPr/>
          <w:p>
            <w:pPr>
              <w:pStyle w:val="Compact"/>
            </w:pPr>
            <w:r>
              <w:t xml:space="preserve">Cualquier miembro</w:t>
            </w:r>
          </w:p>
        </w:tc>
      </w:tr>
    </w:tbl>
    <w:p>
      <w:pPr>
        <w:pStyle w:val="BodyText"/>
      </w:pPr>
      <w:r>
        <w:t xml:space="preserve">Las reuniones mensuales se celebran el [DÍA] de cada mes, en formato [PRESENCIAL / VIDEOCONFERENCIA], con una duración máxima de 90 minutos.</w:t>
      </w:r>
    </w:p>
    <w:bookmarkEnd w:id="14"/>
    <w:bookmarkStart w:id="15" w:name="quórum-y-decisiones"/>
    <w:p>
      <w:pPr>
        <w:pStyle w:val="Heading3"/>
      </w:pPr>
      <w:r>
        <w:t xml:space="preserve">Quórum y decisiones</w:t>
      </w:r>
    </w:p>
    <w:p>
      <w:pPr>
        <w:pStyle w:val="FirstParagraph"/>
      </w:pPr>
      <w:r>
        <w:t xml:space="preserve">El quórum para reuniones ordinarias es de 3 de los 4 roles mínimos, con presencia obligatoria del Sponsor Ejecutivo o su representante designado.</w:t>
      </w:r>
    </w:p>
    <w:p>
      <w:pPr>
        <w:pStyle w:val="BodyText"/>
      </w:pPr>
      <w:r>
        <w:t xml:space="preserve">Las decisiones se toman por consenso. Cuando no hay consenso, el Sponsor Ejecutivo tiene voto de calidad.</w:t>
      </w:r>
    </w:p>
    <w:p>
      <w:pPr>
        <w:pStyle w:val="BodyText"/>
      </w:pPr>
      <w:r>
        <w:t xml:space="preserve">Las siguientes decisiones requieren quórum completo:</w:t>
      </w:r>
      <w:r>
        <w:t xml:space="preserve"> </w:t>
      </w:r>
      <w:r>
        <w:t xml:space="preserve">- Aprobación del paso de una fase a la siguiente (gate de validación).</w:t>
      </w:r>
      <w:r>
        <w:t xml:space="preserve"> </w:t>
      </w:r>
      <w:r>
        <w:t xml:space="preserve">- Clasificación de un sistema como de alto riesgo bajo el EU AI Act.</w:t>
      </w:r>
      <w:r>
        <w:t xml:space="preserve"> </w:t>
      </w:r>
      <w:r>
        <w:t xml:space="preserve">- Aprobación de nuevas políticas o modificaciones sustanciales de las existentes.</w:t>
      </w:r>
      <w:r>
        <w:t xml:space="preserve"> </w:t>
      </w:r>
      <w:r>
        <w:t xml:space="preserve">- Decisión de detener o retirar un sistema de producción.</w:t>
      </w:r>
    </w:p>
    <w:bookmarkEnd w:id="15"/>
    <w:bookmarkStart w:id="16" w:name="documentación"/>
    <w:p>
      <w:pPr>
        <w:pStyle w:val="Heading3"/>
      </w:pPr>
      <w:r>
        <w:t xml:space="preserve">Documentación</w:t>
      </w:r>
    </w:p>
    <w:p>
      <w:pPr>
        <w:pStyle w:val="FirstParagraph"/>
      </w:pPr>
      <w:r>
        <w:t xml:space="preserve">Todas las reuniones se documentan con acta mínima: fecha, asistentes, decisiones tomadas y compromisos adquiridos. Las actas se almacenan en [UBICACIÓN DEL REPOSITORIO] y son accesibles a todos los miembros del Comité.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ca6b48c16dcbcc233f5da621b57edcd5a2e21a0"/>
    <w:p>
      <w:pPr>
        <w:pStyle w:val="Heading2"/>
      </w:pPr>
      <w:r>
        <w:t xml:space="preserve">5. Proceso de incorporación y salida de miembros</w:t>
      </w:r>
    </w:p>
    <w:p>
      <w:pPr>
        <w:pStyle w:val="FirstParagraph"/>
      </w:pPr>
      <w:r>
        <w:t xml:space="preserve">La incorporación de un nuevo miembro requiere propuesta de cualquier miembro del Comité, evaluación de las competencias del candidato y aprobación por mayoría del Comité.</w:t>
      </w:r>
    </w:p>
    <w:p>
      <w:pPr>
        <w:pStyle w:val="BodyText"/>
      </w:pPr>
      <w:r>
        <w:t xml:space="preserve">La salida de un miembro se comunica con al menos 30 días de antelación. El miembro saliente identifica a su sucesor o propone al Comité que inicie el proceso de selección.</w:t>
      </w:r>
    </w:p>
    <w:p>
      <w:r>
        <w:pict>
          <v:rect style="width:0;height:1.5pt" o:hralign="center" o:hrstd="t" o:hr="t"/>
        </w:pict>
      </w:r>
    </w:p>
    <w:bookmarkEnd w:id="18"/>
    <w:bookmarkStart w:id="19" w:name="vigencia-y-revisión"/>
    <w:p>
      <w:pPr>
        <w:pStyle w:val="Heading2"/>
      </w:pPr>
      <w:r>
        <w:t xml:space="preserve">6. Vigencia y revisión</w:t>
      </w:r>
    </w:p>
    <w:p>
      <w:pPr>
        <w:pStyle w:val="FirstParagraph"/>
      </w:pPr>
      <w:r>
        <w:t xml:space="preserve">Este Charter entra en vigor en la fecha de su aprobación y tiene vigencia indefinida. Se revisa:</w:t>
      </w:r>
      <w:r>
        <w:t xml:space="preserve"> </w:t>
      </w:r>
      <w:r>
        <w:t xml:space="preserve">- Al inicio de cada nuevo ciclo de adopción.</w:t>
      </w:r>
      <w:r>
        <w:t xml:space="preserve"> </w:t>
      </w:r>
      <w:r>
        <w:t xml:space="preserve">- Cuando hay cambios significativos en la composición del Comité.</w:t>
      </w:r>
      <w:r>
        <w:t xml:space="preserve"> </w:t>
      </w:r>
      <w:r>
        <w:t xml:space="preserve">- Cuando se producen cambios normativos relevantes que afectan a las responsabilidades del Comité.</w:t>
      </w:r>
    </w:p>
    <w:p>
      <w:pPr>
        <w:pStyle w:val="BodyText"/>
      </w:pPr>
      <w:r>
        <w:t xml:space="preserve">Las modificaciones al Charter requieren aprobación con quórum completo.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Firmas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Rol</w:t>
            </w:r>
          </w:p>
        </w:tc>
        <w:tc>
          <w:tcPr/>
          <w:p>
            <w:pPr>
              <w:pStyle w:val="Compact"/>
            </w:pPr>
            <w:r>
              <w:t xml:space="preserve">Nombre</w:t>
            </w:r>
          </w:p>
        </w:tc>
        <w:tc>
          <w:tcPr/>
          <w:p>
            <w:pPr>
              <w:pStyle w:val="Compact"/>
            </w:pPr>
            <w:r>
              <w:t xml:space="preserve">Firma</w:t>
            </w:r>
          </w:p>
        </w:tc>
        <w:tc>
          <w:tcPr/>
          <w:p>
            <w:pPr>
              <w:pStyle w:val="Compact"/>
            </w:pPr>
            <w:r>
              <w:t xml:space="preserve">Fecha</w:t>
            </w:r>
          </w:p>
        </w:tc>
      </w:tr>
      <w:tr>
        <w:tc>
          <w:tcPr/>
          <w:p>
            <w:pPr>
              <w:pStyle w:val="Compact"/>
            </w:pPr>
            <w:r>
              <w:t xml:space="preserve">Sponsor Ejecutivo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Líder Operativo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Partner de Integración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Partner Metodológico</w:t>
            </w:r>
          </w:p>
        </w:tc>
        <w:tc>
          <w:tcPr/>
          <w:p>
            <w:pPr>
              <w:pStyle w:val="Compact"/>
            </w:pPr>
            <w:r>
              <w:t xml:space="preserve">[NOMBRE]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2026-06-10T10:10:46Z</dcterms:created>
  <dcterms:modified xsi:type="dcterms:W3CDTF">2026-06-10T10:10:46Z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